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39" w:rsidRDefault="000F4939" w:rsidP="00E139D7">
      <w:pPr>
        <w:pStyle w:val="Heading1"/>
        <w:jc w:val="center"/>
        <w:rPr>
          <w:sz w:val="44"/>
        </w:rPr>
      </w:pPr>
      <w:r w:rsidRPr="00E139D7">
        <w:rPr>
          <w:sz w:val="44"/>
        </w:rPr>
        <w:t>Technical explanation o</w:t>
      </w:r>
      <w:r w:rsidR="00A854B9" w:rsidRPr="00E139D7">
        <w:rPr>
          <w:sz w:val="44"/>
        </w:rPr>
        <w:t>f</w:t>
      </w:r>
      <w:r w:rsidRPr="00E139D7">
        <w:rPr>
          <w:sz w:val="44"/>
        </w:rPr>
        <w:t xml:space="preserve"> </w:t>
      </w:r>
      <w:r w:rsidR="00A854B9" w:rsidRPr="00E139D7">
        <w:rPr>
          <w:sz w:val="44"/>
        </w:rPr>
        <w:t xml:space="preserve">2015 </w:t>
      </w:r>
      <w:r w:rsidRPr="00E139D7">
        <w:rPr>
          <w:sz w:val="44"/>
        </w:rPr>
        <w:t>Field Testing yield curves derivation</w:t>
      </w:r>
    </w:p>
    <w:p w:rsidR="00E139D7" w:rsidRDefault="00E139D7" w:rsidP="00E139D7"/>
    <w:p w:rsidR="000F4939" w:rsidRDefault="000227EB" w:rsidP="000227EB">
      <w:pPr>
        <w:jc w:val="both"/>
      </w:pPr>
      <w:r w:rsidRPr="000227EB">
        <w:t xml:space="preserve">The approach used by the IAIS for the derivation of the </w:t>
      </w:r>
      <w:r w:rsidR="00797EAD">
        <w:t>y</w:t>
      </w:r>
      <w:r w:rsidR="000F732C">
        <w:t xml:space="preserve">ield </w:t>
      </w:r>
      <w:r w:rsidR="00797EAD">
        <w:t>c</w:t>
      </w:r>
      <w:r w:rsidR="000F732C">
        <w:t>urves</w:t>
      </w:r>
      <w:r w:rsidR="000F732C" w:rsidRPr="000227EB">
        <w:t xml:space="preserve"> </w:t>
      </w:r>
      <w:r w:rsidRPr="000227EB">
        <w:t xml:space="preserve">has been developed for </w:t>
      </w:r>
      <w:r w:rsidR="00797EAD">
        <w:t xml:space="preserve">2015 </w:t>
      </w:r>
      <w:r w:rsidRPr="000227EB">
        <w:t>Field Testing purposes and will be reviewed on the basis of the Field Testing results and additional feedback collected from Volunteers (e.g. through the Qualitative Questionnaire).</w:t>
      </w:r>
    </w:p>
    <w:p w:rsidR="008C1BDE" w:rsidRDefault="000F4939" w:rsidP="000F4939">
      <w:pPr>
        <w:pStyle w:val="Heading2"/>
      </w:pPr>
      <w:r>
        <w:t xml:space="preserve">Methodology </w:t>
      </w:r>
      <w:r w:rsidRPr="000F4939">
        <w:t>description:</w:t>
      </w:r>
    </w:p>
    <w:p w:rsidR="000F4939" w:rsidRDefault="000F4939" w:rsidP="000F4939">
      <w:pPr>
        <w:jc w:val="both"/>
      </w:pPr>
      <w:r>
        <w:t>The Smith-Wilson methodology allows determining the parameters of a continuous pricing function out of a set of observed market prices.</w:t>
      </w:r>
      <w:r w:rsidR="000227EB">
        <w:t xml:space="preserve"> The price function obtained is the market price at valuing time for a zero coupon bond paying 1 at some future date t (the maturity). </w:t>
      </w:r>
    </w:p>
    <w:p w:rsidR="000F4939" w:rsidRDefault="000F4939" w:rsidP="000F4939">
      <w:pPr>
        <w:jc w:val="both"/>
      </w:pPr>
      <w:r>
        <w:t xml:space="preserve">This </w:t>
      </w:r>
      <w:r w:rsidR="000227EB">
        <w:t xml:space="preserve">continuous function </w:t>
      </w:r>
      <w:r>
        <w:t>then allows computing a price for any maturity, whether matching the observed market prices maturities, in-between the maturities of observed market prices (interpolation), or beyond the last reliably observed maturity (extrapolation).</w:t>
      </w:r>
    </w:p>
    <w:p w:rsidR="000F4939" w:rsidRDefault="000F4939" w:rsidP="000F4939">
      <w:pPr>
        <w:jc w:val="both"/>
      </w:pPr>
      <w:r>
        <w:t xml:space="preserve">A property of the </w:t>
      </w:r>
      <w:r w:rsidR="00CE731F">
        <w:t xml:space="preserve">pricing function obtained by applying the </w:t>
      </w:r>
      <w:r>
        <w:t xml:space="preserve">Smith-Wilson methodology is the ability to replicate </w:t>
      </w:r>
      <w:r w:rsidR="00A0521C">
        <w:t xml:space="preserve">an </w:t>
      </w:r>
      <w:r>
        <w:t>observed market price when the maturity match</w:t>
      </w:r>
      <w:r w:rsidR="00A0521C">
        <w:t>es</w:t>
      </w:r>
      <w:r>
        <w:t xml:space="preserve"> with an observed market price. This provides a level of market consistency sometime missing in alternative interpolation and/or extrapolation methodologies.</w:t>
      </w:r>
    </w:p>
    <w:p w:rsidR="000F4939" w:rsidRDefault="000F4939" w:rsidP="000F4939">
      <w:pPr>
        <w:jc w:val="both"/>
      </w:pPr>
      <w:r>
        <w:t xml:space="preserve">Another characteristic of this methodology, due to the properties of the mathematical functions around which the Wilson pricing function are built, is to produce a derivable pricing function. The derivative of this pricing function is also derivable. This allows obtaining a forward intensity (continuous version of the forward rate) with a "smooth" shape, meaning </w:t>
      </w:r>
      <w:r w:rsidR="00A0521C">
        <w:t xml:space="preserve">there are </w:t>
      </w:r>
      <w:r>
        <w:t>valuable mathematical properties of this derivative.</w:t>
      </w:r>
    </w:p>
    <w:p w:rsidR="000F4939" w:rsidRDefault="000F4939" w:rsidP="000F4939">
      <w:pPr>
        <w:jc w:val="both"/>
      </w:pPr>
      <w:r>
        <w:t>In order to be able to produce a pricing function going beyond the longest maturity for which a market price can be reliably observed, a long term anchor for the pricing function is needed. A final parameter, called “alpha” is then needed to set the speed of convergence between the last reliably observed market instrument and the long term anchor.</w:t>
      </w:r>
    </w:p>
    <w:p w:rsidR="00265345" w:rsidRDefault="00265345" w:rsidP="00265345">
      <w:pPr>
        <w:jc w:val="both"/>
      </w:pPr>
      <w:r>
        <w:t>In the Smith-Wilson method the pricing function P(t), for all t&gt;0, is set up as the sum of a term e</w:t>
      </w:r>
      <w:r w:rsidR="00C85236">
        <w:rPr>
          <w:vertAlign w:val="superscript"/>
        </w:rPr>
        <w:t>-LT</w:t>
      </w:r>
      <w:r w:rsidRPr="00265345">
        <w:rPr>
          <w:vertAlign w:val="superscript"/>
        </w:rPr>
        <w:t>FR</w:t>
      </w:r>
      <w:r>
        <w:rPr>
          <w:vertAlign w:val="superscript"/>
        </w:rPr>
        <w:t>.</w:t>
      </w:r>
      <w:r w:rsidRPr="00265345">
        <w:rPr>
          <w:vertAlign w:val="superscript"/>
        </w:rPr>
        <w:t>t</w:t>
      </w:r>
      <w:r>
        <w:t xml:space="preserve"> for the asymptotical long term behaviour of the discount factor and a linear combination of N kernel functions Ki(t), i=1,2,…,N (the number N of kernel functions being equal to the number of observed maturities).</w:t>
      </w:r>
    </w:p>
    <w:p w:rsidR="000227EB" w:rsidRDefault="00265345" w:rsidP="000227EB">
      <w:pPr>
        <w:jc w:val="both"/>
      </w:pPr>
      <w:r>
        <w:t xml:space="preserve">The conceptual process of using this methodology to produce a yield curve is to select a set of observed market instruments, determine the external parameters needed (long term </w:t>
      </w:r>
      <w:r>
        <w:lastRenderedPageBreak/>
        <w:t xml:space="preserve">anchor defined as the </w:t>
      </w:r>
      <w:r w:rsidR="00412332">
        <w:t xml:space="preserve">Long Term Forward Rate </w:t>
      </w:r>
      <w:r>
        <w:t>and speed of convergence “alpha”) and obtain as a result the list of parameters.</w:t>
      </w:r>
    </w:p>
    <w:p w:rsidR="00265345" w:rsidRDefault="00265345" w:rsidP="000227EB">
      <w:pPr>
        <w:jc w:val="both"/>
      </w:pPr>
    </w:p>
    <w:p w:rsidR="0075784A" w:rsidRDefault="0075784A" w:rsidP="00CE731F">
      <w:pPr>
        <w:pStyle w:val="Heading2"/>
      </w:pPr>
      <w:r>
        <w:t>Currencies provided:</w:t>
      </w:r>
    </w:p>
    <w:p w:rsidR="0075784A" w:rsidRDefault="0075784A" w:rsidP="0075784A">
      <w:pPr>
        <w:jc w:val="both"/>
      </w:pPr>
      <w:r>
        <w:t>Yield curves have been derived for the t</w:t>
      </w:r>
      <w:r w:rsidRPr="00826866">
        <w:t xml:space="preserve">op 35 traded currencies (see page 12 of </w:t>
      </w:r>
      <w:hyperlink r:id="rId9" w:history="1">
        <w:r w:rsidRPr="00AC7C24">
          <w:rPr>
            <w:rStyle w:val="Hyperlink"/>
          </w:rPr>
          <w:t>http://www.bis.org/publ/rpfx13fx.pdf</w:t>
        </w:r>
      </w:hyperlink>
      <w:r w:rsidRPr="00826866">
        <w:t>)</w:t>
      </w:r>
      <w:r>
        <w:t>, see embedded spreadsheet.</w:t>
      </w:r>
    </w:p>
    <w:p w:rsidR="0075784A" w:rsidRPr="000F4939" w:rsidRDefault="0075784A" w:rsidP="0075784A">
      <w:pPr>
        <w:jc w:val="both"/>
      </w:pPr>
      <w:r>
        <w:tab/>
      </w:r>
      <w:permStart w:id="1554452559" w:edGrp="everyone"/>
      <w:bookmarkStart w:id="0" w:name="_MON_1508238226"/>
      <w:bookmarkEnd w:id="0"/>
      <w:r w:rsidR="00F06AA0"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8pt;height:49.5pt" o:ole="">
            <v:imagedata r:id="rId10" o:title=""/>
          </v:shape>
          <o:OLEObject Type="Embed" ProgID="Excel.Sheet.12" ShapeID="_x0000_i1027" DrawAspect="Icon" ObjectID="_1508326872" r:id="rId11"/>
        </w:object>
      </w:r>
      <w:bookmarkStart w:id="1" w:name="_GoBack"/>
      <w:bookmarkEnd w:id="1"/>
      <w:permEnd w:id="1554452559"/>
    </w:p>
    <w:p w:rsidR="0075784A" w:rsidRPr="0075784A" w:rsidRDefault="0075784A" w:rsidP="0075784A"/>
    <w:p w:rsidR="00CE731F" w:rsidRDefault="00A0521C" w:rsidP="00CE731F">
      <w:pPr>
        <w:pStyle w:val="Heading2"/>
      </w:pPr>
      <w:r>
        <w:t>Basic curve implementation choices</w:t>
      </w:r>
      <w:r w:rsidR="00CE731F" w:rsidRPr="000F4939">
        <w:t>:</w:t>
      </w:r>
    </w:p>
    <w:p w:rsidR="00265345" w:rsidRDefault="00265345" w:rsidP="000F4939"/>
    <w:p w:rsidR="000227EB" w:rsidRDefault="000227EB" w:rsidP="00E84BF8">
      <w:pPr>
        <w:pStyle w:val="ListParagraph"/>
        <w:numPr>
          <w:ilvl w:val="0"/>
          <w:numId w:val="1"/>
        </w:numPr>
        <w:jc w:val="both"/>
      </w:pPr>
      <w:r>
        <w:t xml:space="preserve">For the sake of the Field Testing 2015, </w:t>
      </w:r>
      <w:r w:rsidR="00265345">
        <w:t>market prices mostly based on swaps have been collected from a commercial data provider</w:t>
      </w:r>
      <w:r w:rsidR="001C57B7">
        <w:rPr>
          <w:rStyle w:val="FootnoteReference"/>
        </w:rPr>
        <w:footnoteReference w:id="1"/>
      </w:r>
      <w:r w:rsidR="00265345">
        <w:t xml:space="preserve">. To acknowledge </w:t>
      </w:r>
      <w:r w:rsidR="00E84BF8">
        <w:t>that these instrument</w:t>
      </w:r>
      <w:r w:rsidR="00797EAD">
        <w:t>s</w:t>
      </w:r>
      <w:r w:rsidR="00E84BF8">
        <w:t xml:space="preserve"> are only a proxy </w:t>
      </w:r>
      <w:r w:rsidR="00D345FE">
        <w:t xml:space="preserve">of </w:t>
      </w:r>
      <w:r w:rsidR="00E84BF8">
        <w:t>risk free observations, a flat 10 basis point adjustment has been applied on these raw market observations.</w:t>
      </w:r>
      <w:r w:rsidR="0013246B">
        <w:t xml:space="preserve"> Given the usually decreasing liquidity of instruments of longer maturities, the set of observed instrument has been capped at 30 Years. For a number of currencies, the practical set of observed maturities stops at an earlier maturity</w:t>
      </w:r>
      <w:r w:rsidR="00412332">
        <w:rPr>
          <w:rStyle w:val="FootnoteReference"/>
        </w:rPr>
        <w:footnoteReference w:id="2"/>
      </w:r>
      <w:r w:rsidR="0013246B">
        <w:t xml:space="preserve">. </w:t>
      </w:r>
    </w:p>
    <w:p w:rsidR="0013246B" w:rsidRDefault="0013246B" w:rsidP="0013246B">
      <w:pPr>
        <w:pStyle w:val="ListParagraph"/>
        <w:jc w:val="both"/>
      </w:pPr>
    </w:p>
    <w:p w:rsidR="00E84BF8" w:rsidRDefault="00E84BF8" w:rsidP="00E84BF8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="00D345FE">
        <w:t>L</w:t>
      </w:r>
      <w:r>
        <w:t xml:space="preserve">ong </w:t>
      </w:r>
      <w:r w:rsidR="00D345FE">
        <w:t>T</w:t>
      </w:r>
      <w:r>
        <w:t xml:space="preserve">erm </w:t>
      </w:r>
      <w:r w:rsidR="00D345FE">
        <w:t>Forward Rate</w:t>
      </w:r>
      <w:r>
        <w:t xml:space="preserve"> has been </w:t>
      </w:r>
      <w:r w:rsidR="00D345FE">
        <w:t xml:space="preserve">determined </w:t>
      </w:r>
      <w:r>
        <w:t xml:space="preserve">using a simple macro-economic approach </w:t>
      </w:r>
      <w:r w:rsidR="00D345FE">
        <w:t xml:space="preserve">by </w:t>
      </w:r>
      <w:r>
        <w:t xml:space="preserve">adding two components: a long term objective for inflation and a long term </w:t>
      </w:r>
      <w:r w:rsidR="0013246B">
        <w:t>forecast for average growth. Both of these component</w:t>
      </w:r>
      <w:r w:rsidR="00F7641F">
        <w:t>s</w:t>
      </w:r>
      <w:r w:rsidR="0013246B">
        <w:t xml:space="preserve"> have been set according to the high level results of a recent OECD macroeconomic long term forecast</w:t>
      </w:r>
      <w:r w:rsidR="00412332">
        <w:rPr>
          <w:rStyle w:val="FootnoteReference"/>
        </w:rPr>
        <w:footnoteReference w:id="3"/>
      </w:r>
      <w:r w:rsidR="0013246B">
        <w:t>.</w:t>
      </w:r>
    </w:p>
    <w:p w:rsidR="0013246B" w:rsidRDefault="0013246B" w:rsidP="0013246B">
      <w:pPr>
        <w:pStyle w:val="ListParagraph"/>
      </w:pPr>
    </w:p>
    <w:p w:rsidR="0013246B" w:rsidRDefault="0013246B" w:rsidP="00E84BF8">
      <w:pPr>
        <w:pStyle w:val="ListParagraph"/>
        <w:numPr>
          <w:ilvl w:val="0"/>
          <w:numId w:val="1"/>
        </w:numPr>
        <w:jc w:val="both"/>
      </w:pPr>
      <w:r>
        <w:t>Given that the OECD study retain</w:t>
      </w:r>
      <w:r w:rsidR="00D345FE">
        <w:t>s</w:t>
      </w:r>
      <w:r>
        <w:t xml:space="preserve"> a single target time for all countries, the speed of convergence has been determined in a reverse way. For each currency the “alpha” parameter retained is the parameter allowing a forward rate within 1 basis point of the asymptotic long term target at the common </w:t>
      </w:r>
      <w:r w:rsidR="00070C19">
        <w:t xml:space="preserve">convergence target </w:t>
      </w:r>
      <w:r>
        <w:t>of 60 years</w:t>
      </w:r>
      <w:r w:rsidR="003A6C03">
        <w:t xml:space="preserve"> to be reached</w:t>
      </w:r>
      <w:r>
        <w:t xml:space="preserve">. </w:t>
      </w:r>
    </w:p>
    <w:p w:rsidR="00F45FAB" w:rsidRDefault="00F45FAB" w:rsidP="0013246B">
      <w:pPr>
        <w:pStyle w:val="ListParagraph"/>
      </w:pPr>
    </w:p>
    <w:p w:rsidR="00A0521C" w:rsidRDefault="00A0521C" w:rsidP="0013246B">
      <w:pPr>
        <w:pStyle w:val="ListParagraph"/>
      </w:pPr>
    </w:p>
    <w:p w:rsidR="00A0521C" w:rsidRDefault="00A0521C" w:rsidP="0013246B">
      <w:pPr>
        <w:pStyle w:val="ListParagraph"/>
      </w:pPr>
    </w:p>
    <w:p w:rsidR="00A0521C" w:rsidRDefault="00A0521C" w:rsidP="0013246B">
      <w:pPr>
        <w:pStyle w:val="ListParagraph"/>
      </w:pPr>
    </w:p>
    <w:p w:rsidR="00A0521C" w:rsidRDefault="00A0521C" w:rsidP="00A0521C">
      <w:pPr>
        <w:pStyle w:val="Heading2"/>
      </w:pPr>
      <w:r>
        <w:t>Adjustment</w:t>
      </w:r>
      <w:r w:rsidRPr="000F4939">
        <w:t>:</w:t>
      </w:r>
    </w:p>
    <w:p w:rsidR="00F45FAB" w:rsidRDefault="00F45FAB" w:rsidP="0013246B">
      <w:pPr>
        <w:pStyle w:val="ListParagraph"/>
      </w:pPr>
    </w:p>
    <w:p w:rsidR="00F45FAB" w:rsidRDefault="00F45FAB" w:rsidP="00A854B9">
      <w:pPr>
        <w:jc w:val="both"/>
      </w:pPr>
      <w:r>
        <w:t>Field Testing 2015 necessitate</w:t>
      </w:r>
      <w:r w:rsidR="00A0521C">
        <w:t>s</w:t>
      </w:r>
      <w:r>
        <w:t xml:space="preserve"> for each currency two sets of yield curves: an adjusted curve for discounting purposes and an</w:t>
      </w:r>
      <w:r w:rsidR="00481F98" w:rsidRPr="00481F98">
        <w:t xml:space="preserve"> </w:t>
      </w:r>
      <w:r w:rsidR="00481F98">
        <w:t>u</w:t>
      </w:r>
      <w:r w:rsidR="00481F98" w:rsidRPr="00481F98">
        <w:t>nadjusted curve</w:t>
      </w:r>
      <w:r w:rsidR="003A6C03">
        <w:t xml:space="preserve"> </w:t>
      </w:r>
      <w:r>
        <w:t>which is needed to determine the magnitude of the interest rate stresses</w:t>
      </w:r>
      <w:r>
        <w:rPr>
          <w:rStyle w:val="FootnoteReference"/>
        </w:rPr>
        <w:footnoteReference w:id="4"/>
      </w:r>
      <w:r>
        <w:t xml:space="preserve"> as well as the discounting factors for the Consistent and Comparable MOCE under a Cost of Capital approach. </w:t>
      </w:r>
    </w:p>
    <w:p w:rsidR="00F45FAB" w:rsidRDefault="00F45FAB" w:rsidP="0013246B">
      <w:pPr>
        <w:pStyle w:val="ListParagraph"/>
      </w:pPr>
    </w:p>
    <w:p w:rsidR="0013246B" w:rsidRDefault="00A0521C" w:rsidP="00A0521C">
      <w:pPr>
        <w:pStyle w:val="ListParagraph"/>
        <w:numPr>
          <w:ilvl w:val="0"/>
          <w:numId w:val="2"/>
        </w:numPr>
        <w:jc w:val="both"/>
      </w:pPr>
      <w:r>
        <w:t>For 2015 Field testing, an</w:t>
      </w:r>
      <w:r w:rsidR="00F45FAB">
        <w:t xml:space="preserve"> adjustment based on the spread </w:t>
      </w:r>
      <w:r>
        <w:t xml:space="preserve">is based on an </w:t>
      </w:r>
      <w:r w:rsidR="00F45FAB">
        <w:t>observed broad basket of investment grade corporate bonds for the main currencies, with a default of 50 basis points for other currencies.</w:t>
      </w:r>
      <w:r w:rsidR="00D345FE">
        <w:t xml:space="preserve"> The IAIS will collect feedback regarding a potential review of this methodology during Field Testing, through the Questionnaire.</w:t>
      </w:r>
    </w:p>
    <w:p w:rsidR="00070C19" w:rsidRDefault="00070C19" w:rsidP="00070C19">
      <w:pPr>
        <w:pStyle w:val="ListParagraph"/>
        <w:jc w:val="both"/>
      </w:pPr>
    </w:p>
    <w:p w:rsidR="00070C19" w:rsidRDefault="00070C19" w:rsidP="00A0521C">
      <w:pPr>
        <w:pStyle w:val="ListParagraph"/>
        <w:numPr>
          <w:ilvl w:val="0"/>
          <w:numId w:val="2"/>
        </w:numPr>
        <w:jc w:val="both"/>
      </w:pPr>
      <w:r>
        <w:t>This adjustment has been applied on the values of the observed instruments</w:t>
      </w:r>
      <w:r w:rsidR="00D345FE">
        <w:t xml:space="preserve"> (up to the cut-off point for extrapolation)</w:t>
      </w:r>
      <w:r>
        <w:t xml:space="preserve">, under the assumption that this premium can be earned. While no adjustment is explicitly applied on the part of the curve </w:t>
      </w:r>
      <w:r w:rsidR="00D345FE">
        <w:t>beyond that</w:t>
      </w:r>
      <w:r>
        <w:t xml:space="preserve"> maturity, the way the pricing parameters are mathematically determined </w:t>
      </w:r>
      <w:r w:rsidR="00105741">
        <w:t xml:space="preserve">is equivalent to an </w:t>
      </w:r>
      <w:r>
        <w:t xml:space="preserve">effective </w:t>
      </w:r>
      <w:r w:rsidR="00105741">
        <w:t xml:space="preserve">gradual phasing out of this adjustment after the last observed </w:t>
      </w:r>
      <w:r w:rsidR="00D345FE">
        <w:t xml:space="preserve">liquid </w:t>
      </w:r>
      <w:r w:rsidR="00105741">
        <w:t>maturity.</w:t>
      </w:r>
    </w:p>
    <w:p w:rsidR="00070C19" w:rsidRDefault="00070C19" w:rsidP="00070C19">
      <w:pPr>
        <w:jc w:val="both"/>
      </w:pPr>
    </w:p>
    <w:p w:rsidR="00F45FAB" w:rsidRDefault="00F45FAB" w:rsidP="00F45FAB">
      <w:pPr>
        <w:pStyle w:val="ListParagraph"/>
        <w:jc w:val="both"/>
      </w:pPr>
    </w:p>
    <w:p w:rsidR="0013246B" w:rsidRDefault="0013246B" w:rsidP="000F4939"/>
    <w:p w:rsidR="00CE731F" w:rsidRDefault="00CE731F" w:rsidP="000F4939"/>
    <w:p w:rsidR="00265345" w:rsidRDefault="00265345" w:rsidP="000F4939"/>
    <w:p w:rsidR="00265345" w:rsidRDefault="00265345" w:rsidP="000F4939"/>
    <w:p w:rsidR="00CE731F" w:rsidRDefault="00CE731F" w:rsidP="000F4939"/>
    <w:sectPr w:rsidR="00CE731F" w:rsidSect="00A854B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7F" w:rsidRDefault="00330E7F" w:rsidP="00F45FAB">
      <w:pPr>
        <w:spacing w:after="0" w:line="240" w:lineRule="auto"/>
      </w:pPr>
      <w:r>
        <w:separator/>
      </w:r>
    </w:p>
  </w:endnote>
  <w:endnote w:type="continuationSeparator" w:id="0">
    <w:p w:rsidR="00330E7F" w:rsidRDefault="00330E7F" w:rsidP="00F4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57"/>
      <w:gridCol w:w="4469"/>
    </w:tblGrid>
    <w:tr w:rsidR="00A854B9" w:rsidTr="00AC4D80">
      <w:trPr>
        <w:cantSplit/>
        <w:trHeight w:val="240"/>
      </w:trPr>
      <w:tc>
        <w:tcPr>
          <w:tcW w:w="4541" w:type="dxa"/>
          <w:tcBorders>
            <w:bottom w:val="nil"/>
            <w:right w:val="nil"/>
          </w:tcBorders>
          <w:shd w:val="clear" w:color="auto" w:fill="auto"/>
          <w:noWrap/>
          <w:tcMar>
            <w:top w:w="120" w:type="dxa"/>
            <w:left w:w="0" w:type="dxa"/>
            <w:right w:w="0" w:type="dxa"/>
          </w:tcMar>
          <w:vAlign w:val="bottom"/>
        </w:tcPr>
        <w:p w:rsidR="00A854B9" w:rsidRDefault="00A854B9" w:rsidP="00A854B9">
          <w:pPr>
            <w:pStyle w:val="Footer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2015 Field Testing </w:t>
          </w:r>
        </w:p>
        <w:p w:rsidR="00A854B9" w:rsidRPr="00A854B9" w:rsidRDefault="00A854B9" w:rsidP="00A854B9">
          <w:pPr>
            <w:pStyle w:val="Footer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Technical explanation of</w:t>
          </w:r>
          <w:r w:rsidRPr="00A854B9">
            <w:rPr>
              <w:rFonts w:cs="Arial"/>
              <w:sz w:val="18"/>
            </w:rPr>
            <w:t xml:space="preserve"> </w:t>
          </w:r>
          <w:r>
            <w:rPr>
              <w:rFonts w:cs="Arial"/>
              <w:sz w:val="18"/>
            </w:rPr>
            <w:t>Y</w:t>
          </w:r>
          <w:r w:rsidRPr="00A854B9">
            <w:rPr>
              <w:rFonts w:cs="Arial"/>
              <w:sz w:val="18"/>
            </w:rPr>
            <w:t>ield curves derivation</w:t>
          </w:r>
        </w:p>
      </w:tc>
      <w:tc>
        <w:tcPr>
          <w:tcW w:w="4485" w:type="dxa"/>
          <w:tcBorders>
            <w:left w:val="nil"/>
          </w:tcBorders>
          <w:shd w:val="clear" w:color="auto" w:fill="auto"/>
          <w:tcMar>
            <w:right w:w="0" w:type="dxa"/>
          </w:tcMar>
          <w:vAlign w:val="bottom"/>
        </w:tcPr>
        <w:p w:rsidR="00A854B9" w:rsidRPr="00A854B9" w:rsidRDefault="00A854B9" w:rsidP="00A854B9">
          <w:pPr>
            <w:pStyle w:val="Footer"/>
            <w:jc w:val="right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Page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PAGE  \* MERGEFORMAT </w:instrText>
          </w:r>
          <w:r>
            <w:rPr>
              <w:rFonts w:cs="Arial"/>
              <w:sz w:val="18"/>
            </w:rPr>
            <w:fldChar w:fldCharType="separate"/>
          </w:r>
          <w:r w:rsidR="00F06AA0">
            <w:rPr>
              <w:rFonts w:cs="Arial"/>
              <w:noProof/>
              <w:sz w:val="18"/>
            </w:rPr>
            <w:t>2</w:t>
          </w:r>
          <w:r>
            <w:rPr>
              <w:rFonts w:cs="Arial"/>
              <w:sz w:val="18"/>
            </w:rPr>
            <w:fldChar w:fldCharType="end"/>
          </w:r>
          <w:r>
            <w:rPr>
              <w:rFonts w:cs="Arial"/>
              <w:sz w:val="18"/>
            </w:rPr>
            <w:t xml:space="preserve"> of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NUMPAGES  \* MERGEFORMAT </w:instrText>
          </w:r>
          <w:r>
            <w:rPr>
              <w:rFonts w:cs="Arial"/>
              <w:sz w:val="18"/>
            </w:rPr>
            <w:fldChar w:fldCharType="separate"/>
          </w:r>
          <w:r w:rsidR="00F06AA0">
            <w:rPr>
              <w:rFonts w:cs="Arial"/>
              <w:noProof/>
              <w:sz w:val="18"/>
            </w:rPr>
            <w:t>3</w:t>
          </w:r>
          <w:r>
            <w:rPr>
              <w:rFonts w:cs="Arial"/>
              <w:sz w:val="18"/>
            </w:rPr>
            <w:fldChar w:fldCharType="end"/>
          </w:r>
        </w:p>
      </w:tc>
    </w:tr>
  </w:tbl>
  <w:p w:rsidR="00A854B9" w:rsidRDefault="00A854B9" w:rsidP="00367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41"/>
      <w:gridCol w:w="4485"/>
    </w:tblGrid>
    <w:tr w:rsidR="00A854B9" w:rsidTr="00A854B9">
      <w:trPr>
        <w:cantSplit/>
        <w:trHeight w:val="240"/>
      </w:trPr>
      <w:tc>
        <w:tcPr>
          <w:tcW w:w="4525" w:type="dxa"/>
          <w:tcBorders>
            <w:bottom w:val="nil"/>
            <w:right w:val="nil"/>
          </w:tcBorders>
          <w:shd w:val="clear" w:color="auto" w:fill="auto"/>
          <w:noWrap/>
          <w:tcMar>
            <w:top w:w="120" w:type="dxa"/>
            <w:left w:w="0" w:type="dxa"/>
            <w:right w:w="0" w:type="dxa"/>
          </w:tcMar>
          <w:vAlign w:val="bottom"/>
        </w:tcPr>
        <w:p w:rsidR="00A854B9" w:rsidRDefault="00A854B9" w:rsidP="00A854B9">
          <w:pPr>
            <w:pStyle w:val="Footer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2015 Field Testing </w:t>
          </w:r>
        </w:p>
        <w:p w:rsidR="00A854B9" w:rsidRPr="00A854B9" w:rsidRDefault="00A854B9" w:rsidP="00A854B9">
          <w:pPr>
            <w:pStyle w:val="Footer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Technical explanation of</w:t>
          </w:r>
          <w:r w:rsidRPr="00A854B9">
            <w:rPr>
              <w:rFonts w:cs="Arial"/>
              <w:sz w:val="18"/>
            </w:rPr>
            <w:t xml:space="preserve"> </w:t>
          </w:r>
          <w:r>
            <w:rPr>
              <w:rFonts w:cs="Arial"/>
              <w:sz w:val="18"/>
            </w:rPr>
            <w:t>Y</w:t>
          </w:r>
          <w:r w:rsidRPr="00A854B9">
            <w:rPr>
              <w:rFonts w:cs="Arial"/>
              <w:sz w:val="18"/>
            </w:rPr>
            <w:t>ield curves derivation</w:t>
          </w:r>
          <w:r>
            <w:rPr>
              <w:rFonts w:cs="Arial"/>
              <w:sz w:val="18"/>
            </w:rPr>
            <w:t xml:space="preserve"> </w:t>
          </w:r>
        </w:p>
      </w:tc>
      <w:tc>
        <w:tcPr>
          <w:tcW w:w="4501" w:type="dxa"/>
          <w:tcBorders>
            <w:left w:val="nil"/>
          </w:tcBorders>
          <w:shd w:val="clear" w:color="auto" w:fill="auto"/>
          <w:tcMar>
            <w:right w:w="0" w:type="dxa"/>
          </w:tcMar>
          <w:vAlign w:val="bottom"/>
        </w:tcPr>
        <w:p w:rsidR="00A854B9" w:rsidRPr="00A854B9" w:rsidRDefault="00A854B9" w:rsidP="00A854B9">
          <w:pPr>
            <w:pStyle w:val="Footer"/>
            <w:jc w:val="right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Page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PAGE  \* MERGEFORMAT </w:instrText>
          </w:r>
          <w:r>
            <w:rPr>
              <w:rFonts w:cs="Arial"/>
              <w:sz w:val="18"/>
            </w:rPr>
            <w:fldChar w:fldCharType="separate"/>
          </w:r>
          <w:r w:rsidR="00F06AA0">
            <w:rPr>
              <w:rFonts w:cs="Arial"/>
              <w:noProof/>
              <w:sz w:val="18"/>
            </w:rPr>
            <w:t>1</w:t>
          </w:r>
          <w:r>
            <w:rPr>
              <w:rFonts w:cs="Arial"/>
              <w:sz w:val="18"/>
            </w:rPr>
            <w:fldChar w:fldCharType="end"/>
          </w:r>
          <w:r>
            <w:rPr>
              <w:rFonts w:cs="Arial"/>
              <w:sz w:val="18"/>
            </w:rPr>
            <w:t xml:space="preserve"> of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NUMPAGES  \* MERGEFORMAT </w:instrText>
          </w:r>
          <w:r>
            <w:rPr>
              <w:rFonts w:cs="Arial"/>
              <w:sz w:val="18"/>
            </w:rPr>
            <w:fldChar w:fldCharType="separate"/>
          </w:r>
          <w:r w:rsidR="00F06AA0">
            <w:rPr>
              <w:rFonts w:cs="Arial"/>
              <w:noProof/>
              <w:sz w:val="18"/>
            </w:rPr>
            <w:t>1</w:t>
          </w:r>
          <w:r>
            <w:rPr>
              <w:rFonts w:cs="Arial"/>
              <w:sz w:val="18"/>
            </w:rPr>
            <w:fldChar w:fldCharType="end"/>
          </w:r>
        </w:p>
      </w:tc>
    </w:tr>
  </w:tbl>
  <w:p w:rsidR="00A854B9" w:rsidRDefault="00A85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7F" w:rsidRDefault="00330E7F" w:rsidP="00F45FAB">
      <w:pPr>
        <w:spacing w:after="0" w:line="240" w:lineRule="auto"/>
      </w:pPr>
      <w:r>
        <w:separator/>
      </w:r>
    </w:p>
  </w:footnote>
  <w:footnote w:type="continuationSeparator" w:id="0">
    <w:p w:rsidR="00330E7F" w:rsidRDefault="00330E7F" w:rsidP="00F45FAB">
      <w:pPr>
        <w:spacing w:after="0" w:line="240" w:lineRule="auto"/>
      </w:pPr>
      <w:r>
        <w:continuationSeparator/>
      </w:r>
    </w:p>
  </w:footnote>
  <w:footnote w:id="1">
    <w:p w:rsidR="001C57B7" w:rsidRPr="001C57B7" w:rsidRDefault="001C57B7">
      <w:pPr>
        <w:pStyle w:val="FootnoteText"/>
      </w:pPr>
      <w:r>
        <w:rPr>
          <w:rStyle w:val="FootnoteReference"/>
        </w:rPr>
        <w:footnoteRef/>
      </w:r>
      <w:r>
        <w:t xml:space="preserve"> The data provider used has been selected only on the criteria of immediate availability of a valid license for data extraction. This shouldn’t be seen as an official IAIS advice to use a particular market data provider.</w:t>
      </w:r>
    </w:p>
  </w:footnote>
  <w:footnote w:id="2">
    <w:p w:rsidR="00412332" w:rsidRPr="00412332" w:rsidRDefault="00412332">
      <w:pPr>
        <w:pStyle w:val="FootnoteText"/>
      </w:pPr>
      <w:r>
        <w:rPr>
          <w:rStyle w:val="FootnoteReference"/>
        </w:rPr>
        <w:footnoteRef/>
      </w:r>
      <w:r>
        <w:t xml:space="preserve"> The list of used</w:t>
      </w:r>
      <w:r w:rsidRPr="00412332">
        <w:t xml:space="preserve"> cut-off</w:t>
      </w:r>
      <w:r>
        <w:t xml:space="preserve"> maturities is available in Table 1, paragraph 127 of the technical specifications.</w:t>
      </w:r>
    </w:p>
  </w:footnote>
  <w:footnote w:id="3">
    <w:p w:rsidR="00412332" w:rsidRPr="00412332" w:rsidRDefault="00412332">
      <w:pPr>
        <w:pStyle w:val="FootnoteText"/>
      </w:pPr>
      <w:r>
        <w:rPr>
          <w:rStyle w:val="FootnoteReference"/>
        </w:rPr>
        <w:footnoteRef/>
      </w:r>
      <w:r>
        <w:t xml:space="preserve"> The list of used Long Term Forward Rates is available in Table 1, paragraph 127 of the technical specifications.</w:t>
      </w:r>
    </w:p>
  </w:footnote>
  <w:footnote w:id="4">
    <w:p w:rsidR="00F45FAB" w:rsidRPr="00F45FAB" w:rsidRDefault="00F45F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Applying the stresses on the discounting curve would in practice stress the adjustment applied, leading to an overlap with the credit risk scope.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00"/>
      <w:gridCol w:w="3426"/>
    </w:tblGrid>
    <w:tr w:rsidR="00A854B9" w:rsidTr="00A854B9">
      <w:trPr>
        <w:cantSplit/>
        <w:trHeight w:val="850"/>
      </w:trPr>
      <w:tc>
        <w:tcPr>
          <w:tcW w:w="3102" w:type="pct"/>
          <w:tcBorders>
            <w:bottom w:val="single" w:sz="4" w:space="0" w:color="auto"/>
          </w:tcBorders>
          <w:shd w:val="clear" w:color="auto" w:fill="auto"/>
          <w:tcMar>
            <w:left w:w="0" w:type="dxa"/>
            <w:bottom w:w="113" w:type="dxa"/>
          </w:tcMar>
        </w:tcPr>
        <w:p w:rsidR="00A854B9" w:rsidRDefault="00A854B9" w:rsidP="00A854B9">
          <w:pPr>
            <w:pStyle w:val="Header"/>
          </w:pPr>
          <w:r>
            <w:rPr>
              <w:noProof/>
              <w:lang w:eastAsia="zh-CN"/>
            </w:rPr>
            <w:drawing>
              <wp:inline distT="0" distB="0" distL="0" distR="0" wp14:anchorId="373AB073" wp14:editId="61900ED5">
                <wp:extent cx="1522988" cy="381000"/>
                <wp:effectExtent l="0" t="0" r="127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988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8" w:type="pct"/>
          <w:tcBorders>
            <w:bottom w:val="single" w:sz="4" w:space="0" w:color="auto"/>
          </w:tcBorders>
          <w:shd w:val="clear" w:color="auto" w:fill="auto"/>
          <w:noWrap/>
          <w:tcMar>
            <w:top w:w="142" w:type="dxa"/>
            <w:left w:w="0" w:type="dxa"/>
            <w:right w:w="0" w:type="dxa"/>
          </w:tcMar>
        </w:tcPr>
        <w:p w:rsidR="00A854B9" w:rsidRPr="00A854B9" w:rsidRDefault="00A854B9" w:rsidP="00A854B9">
          <w:pPr>
            <w:pStyle w:val="Header"/>
            <w:jc w:val="right"/>
            <w:rPr>
              <w:rFonts w:cs="Arial"/>
              <w:b/>
              <w:sz w:val="20"/>
            </w:rPr>
          </w:pPr>
        </w:p>
      </w:tc>
    </w:tr>
  </w:tbl>
  <w:p w:rsidR="00A854B9" w:rsidRDefault="00A854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93"/>
      <w:gridCol w:w="3433"/>
    </w:tblGrid>
    <w:tr w:rsidR="00A854B9" w:rsidTr="00A854B9">
      <w:trPr>
        <w:cantSplit/>
        <w:trHeight w:val="567"/>
      </w:trPr>
      <w:tc>
        <w:tcPr>
          <w:tcW w:w="3098" w:type="pct"/>
          <w:vMerge w:val="restart"/>
          <w:shd w:val="clear" w:color="auto" w:fill="auto"/>
          <w:tcMar>
            <w:left w:w="0" w:type="dxa"/>
          </w:tcMar>
        </w:tcPr>
        <w:p w:rsidR="00A854B9" w:rsidRDefault="00A854B9" w:rsidP="00A854B9">
          <w:pPr>
            <w:pStyle w:val="Header"/>
          </w:pPr>
          <w:r>
            <w:rPr>
              <w:noProof/>
              <w:lang w:eastAsia="zh-CN"/>
            </w:rPr>
            <w:drawing>
              <wp:inline distT="0" distB="0" distL="0" distR="0" wp14:anchorId="12423CE6" wp14:editId="1226F2FD">
                <wp:extent cx="2999259" cy="1041400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259" cy="1041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2" w:type="pct"/>
          <w:shd w:val="clear" w:color="auto" w:fill="auto"/>
          <w:noWrap/>
          <w:tcMar>
            <w:left w:w="0" w:type="dxa"/>
            <w:right w:w="0" w:type="dxa"/>
          </w:tcMar>
          <w:vAlign w:val="bottom"/>
        </w:tcPr>
        <w:p w:rsidR="00A854B9" w:rsidRPr="00A854B9" w:rsidRDefault="0075784A" w:rsidP="00A854B9">
          <w:pPr>
            <w:pStyle w:val="Header"/>
            <w:jc w:val="right"/>
            <w:rPr>
              <w:rFonts w:cs="Arial"/>
              <w:b/>
              <w:sz w:val="28"/>
            </w:rPr>
          </w:pPr>
          <w:r>
            <w:rPr>
              <w:rFonts w:cs="Arial"/>
              <w:b/>
              <w:sz w:val="28"/>
            </w:rPr>
            <w:t>Public</w:t>
          </w:r>
        </w:p>
      </w:tc>
    </w:tr>
    <w:tr w:rsidR="00A854B9" w:rsidTr="00A854B9">
      <w:trPr>
        <w:cantSplit/>
        <w:trHeight w:val="850"/>
      </w:trPr>
      <w:tc>
        <w:tcPr>
          <w:tcW w:w="3098" w:type="pct"/>
          <w:vMerge/>
          <w:shd w:val="clear" w:color="auto" w:fill="auto"/>
          <w:tcMar>
            <w:left w:w="0" w:type="dxa"/>
          </w:tcMar>
        </w:tcPr>
        <w:p w:rsidR="00A854B9" w:rsidRDefault="00A854B9">
          <w:pPr>
            <w:pStyle w:val="Header"/>
          </w:pPr>
        </w:p>
      </w:tc>
      <w:tc>
        <w:tcPr>
          <w:tcW w:w="1902" w:type="pct"/>
          <w:shd w:val="clear" w:color="auto" w:fill="auto"/>
          <w:noWrap/>
          <w:tcMar>
            <w:top w:w="142" w:type="dxa"/>
            <w:left w:w="0" w:type="dxa"/>
            <w:right w:w="0" w:type="dxa"/>
          </w:tcMar>
        </w:tcPr>
        <w:p w:rsidR="00A854B9" w:rsidRPr="00A854B9" w:rsidRDefault="00A854B9" w:rsidP="00A854B9">
          <w:pPr>
            <w:pStyle w:val="Header"/>
            <w:jc w:val="right"/>
            <w:rPr>
              <w:rFonts w:cs="Arial"/>
              <w:b/>
              <w:sz w:val="20"/>
            </w:rPr>
          </w:pPr>
        </w:p>
      </w:tc>
    </w:tr>
  </w:tbl>
  <w:p w:rsidR="00A854B9" w:rsidRDefault="00A854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3AB3"/>
    <w:multiLevelType w:val="hybridMultilevel"/>
    <w:tmpl w:val="5EAC88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730B"/>
    <w:multiLevelType w:val="hybridMultilevel"/>
    <w:tmpl w:val="5EAC88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JBtKgQ0qaSQcZ+8/mUQHkOU02zZbLVcQDpoeWjujZwclufIumctmevyElwBdORjP8kHecvAkA8lvUnxrThxw==" w:salt="dr9qZCKtga0hN09NhxfqRg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nfidentiality" w:val="public"/>
  </w:docVars>
  <w:rsids>
    <w:rsidRoot w:val="000F4939"/>
    <w:rsid w:val="00013799"/>
    <w:rsid w:val="000227EB"/>
    <w:rsid w:val="00070C19"/>
    <w:rsid w:val="000F4939"/>
    <w:rsid w:val="000F732C"/>
    <w:rsid w:val="00105741"/>
    <w:rsid w:val="0013246B"/>
    <w:rsid w:val="00132C95"/>
    <w:rsid w:val="001345EF"/>
    <w:rsid w:val="001C57B7"/>
    <w:rsid w:val="00213BC0"/>
    <w:rsid w:val="00265345"/>
    <w:rsid w:val="002A46BB"/>
    <w:rsid w:val="00330E7F"/>
    <w:rsid w:val="003542CC"/>
    <w:rsid w:val="00367109"/>
    <w:rsid w:val="003A6C03"/>
    <w:rsid w:val="004010BD"/>
    <w:rsid w:val="00412332"/>
    <w:rsid w:val="00481F98"/>
    <w:rsid w:val="00522497"/>
    <w:rsid w:val="005A5C55"/>
    <w:rsid w:val="005E3926"/>
    <w:rsid w:val="00607D63"/>
    <w:rsid w:val="0075784A"/>
    <w:rsid w:val="00775576"/>
    <w:rsid w:val="00797EAD"/>
    <w:rsid w:val="00797EBD"/>
    <w:rsid w:val="00826866"/>
    <w:rsid w:val="008C1BDE"/>
    <w:rsid w:val="009179E1"/>
    <w:rsid w:val="00A0521C"/>
    <w:rsid w:val="00A82CDA"/>
    <w:rsid w:val="00A854B9"/>
    <w:rsid w:val="00A87B67"/>
    <w:rsid w:val="00AC4D80"/>
    <w:rsid w:val="00B10E2C"/>
    <w:rsid w:val="00B4169A"/>
    <w:rsid w:val="00C53826"/>
    <w:rsid w:val="00C53BA4"/>
    <w:rsid w:val="00C85236"/>
    <w:rsid w:val="00CD136D"/>
    <w:rsid w:val="00CE731F"/>
    <w:rsid w:val="00D345FE"/>
    <w:rsid w:val="00E139D7"/>
    <w:rsid w:val="00E663D7"/>
    <w:rsid w:val="00E83A90"/>
    <w:rsid w:val="00E84BF8"/>
    <w:rsid w:val="00F06AA0"/>
    <w:rsid w:val="00F07266"/>
    <w:rsid w:val="00F37AA2"/>
    <w:rsid w:val="00F45FAB"/>
    <w:rsid w:val="00F7641F"/>
    <w:rsid w:val="00FB42D6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D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69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9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69A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4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84B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45F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FA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FA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32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2C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5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B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85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B9"/>
    <w:rPr>
      <w:rFonts w:ascii="Arial" w:hAnsi="Arial"/>
    </w:rPr>
  </w:style>
  <w:style w:type="table" w:styleId="TableGrid">
    <w:name w:val="Table Grid"/>
    <w:basedOn w:val="TableNormal"/>
    <w:uiPriority w:val="59"/>
    <w:rsid w:val="00A8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8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D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69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9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69A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4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84B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45F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FA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FA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32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2C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5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B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85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B9"/>
    <w:rPr>
      <w:rFonts w:ascii="Arial" w:hAnsi="Arial"/>
    </w:rPr>
  </w:style>
  <w:style w:type="table" w:styleId="TableGrid">
    <w:name w:val="Table Grid"/>
    <w:basedOn w:val="TableNormal"/>
    <w:uiPriority w:val="59"/>
    <w:rsid w:val="00A8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8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1.xlsx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bis.org/publ/rpfx13fx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2FB3-2BA4-4884-93E8-E886547C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for International Settlements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Vouette, Pierre-Jean</dc:creator>
  <cp:lastModifiedBy>Su, Sicheng</cp:lastModifiedBy>
  <cp:revision>14</cp:revision>
  <cp:lastPrinted>2015-05-29T17:07:00Z</cp:lastPrinted>
  <dcterms:created xsi:type="dcterms:W3CDTF">2015-11-05T13:16:00Z</dcterms:created>
  <dcterms:modified xsi:type="dcterms:W3CDTF">2015-11-06T13:52:00Z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